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A35C" w14:textId="05C0816F" w:rsidR="00C66CBE" w:rsidRDefault="000E0ABA" w:rsidP="004C6BB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99DBB0" wp14:editId="457D8906">
                <wp:simplePos x="0" y="0"/>
                <wp:positionH relativeFrom="column">
                  <wp:posOffset>-123825</wp:posOffset>
                </wp:positionH>
                <wp:positionV relativeFrom="page">
                  <wp:posOffset>1313815</wp:posOffset>
                </wp:positionV>
                <wp:extent cx="6000750" cy="42386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38AD" w14:textId="5BBB26D0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Year(s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):</w:t>
                            </w:r>
                            <w:r w:rsidR="004C6BB7" w:rsidRPr="004C6BB7">
                              <w:t xml:space="preserve"> </w:t>
                            </w:r>
                            <w:r w:rsidR="000E0ABA" w:rsidRPr="000E0ABA">
                              <w:rPr>
                                <w:i/>
                                <w:iCs/>
                                <w:szCs w:val="24"/>
                              </w:rPr>
                              <w:t>2012 – 2016.</w:t>
                            </w:r>
                          </w:p>
                          <w:p w14:paraId="08E42463" w14:textId="7BF78AED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Location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4C6BB7">
                              <w:rPr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0E0ABA" w:rsidRPr="000E0ABA">
                              <w:rPr>
                                <w:i/>
                                <w:iCs/>
                                <w:szCs w:val="24"/>
                              </w:rPr>
                              <w:t>Colombia</w:t>
                            </w:r>
                          </w:p>
                          <w:p w14:paraId="33548DC8" w14:textId="3C3E8BF7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UN Regional Group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4C6BB7" w:rsidRPr="004C6BB7">
                              <w:t xml:space="preserve"> </w:t>
                            </w:r>
                            <w:r w:rsidR="000E0ABA" w:rsidRPr="000E0ABA">
                              <w:rPr>
                                <w:i/>
                                <w:iCs/>
                                <w:szCs w:val="24"/>
                              </w:rPr>
                              <w:t>Latin America and the Caribbean.</w:t>
                            </w:r>
                          </w:p>
                          <w:p w14:paraId="4DD004C0" w14:textId="77777777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Type of Conflict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4C6BB7" w:rsidRPr="004C6BB7">
                              <w:t xml:space="preserve"> </w:t>
                            </w:r>
                            <w:r w:rsidR="004C6BB7" w:rsidRPr="004C6BB7">
                              <w:rPr>
                                <w:i/>
                                <w:iCs/>
                                <w:szCs w:val="24"/>
                              </w:rPr>
                              <w:t>Vertical (state-based) Intrastate Conflict with Foreign Involvement.</w:t>
                            </w:r>
                          </w:p>
                          <w:p w14:paraId="40532473" w14:textId="1ECB6849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Type of Initiative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 Diplomacy and the mediation of a peace agreement. </w:t>
                            </w:r>
                          </w:p>
                          <w:p w14:paraId="50AA1C6E" w14:textId="444AE2C6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Main Implementing Organisation(s)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4C6BB7" w:rsidRPr="004C6BB7">
                              <w:t xml:space="preserve"> </w:t>
                            </w:r>
                            <w:r w:rsidR="000E0ABA" w:rsidRP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The governments of Cuba, Chile, Germany, Norway, USA, 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Vatican, </w:t>
                            </w:r>
                            <w:r w:rsidR="000E0ABA" w:rsidRPr="000E0ABA">
                              <w:rPr>
                                <w:i/>
                                <w:iCs/>
                                <w:szCs w:val="24"/>
                              </w:rPr>
                              <w:t>and Venezuela, along with the EU, UN,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 and the</w:t>
                            </w:r>
                            <w:r w:rsidR="000E0ABA" w:rsidRP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 Union of South American Nations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29117AD5" w14:textId="088C4B68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Impact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 Lasting. </w:t>
                            </w:r>
                          </w:p>
                          <w:p w14:paraId="1EA2132D" w14:textId="3BA7688A" w:rsidR="00C6246A" w:rsidRPr="00C6246A" w:rsidRDefault="00C6246A" w:rsidP="00C6246A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C6246A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Summary</w:t>
                            </w:r>
                            <w:r w:rsidRPr="00C6246A">
                              <w:rPr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 The armed conflict in Colombia was finally ended after 52 years by the signing of a peace agreement </w:t>
                            </w:r>
                            <w:r w:rsidR="00F92948">
                              <w:rPr>
                                <w:i/>
                                <w:iCs/>
                                <w:szCs w:val="24"/>
                              </w:rPr>
                              <w:t>during</w:t>
                            </w:r>
                            <w:r w:rsidR="000E0ABA">
                              <w:rPr>
                                <w:i/>
                                <w:iCs/>
                                <w:szCs w:val="24"/>
                              </w:rPr>
                              <w:t xml:space="preserve"> negotiations mediated by a host of national governments and intergovernmental organisations.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9D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03.45pt;width:472.5pt;height:3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" filled="f" stroked="f">
                <v:textbox>
                  <w:txbxContent>
                    <w:p w14:paraId="532D38AD" w14:textId="5BBB26D0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Year(s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):</w:t>
                      </w:r>
                      <w:r w:rsidR="004C6BB7" w:rsidRPr="004C6BB7">
                        <w:t xml:space="preserve"> </w:t>
                      </w:r>
                      <w:r w:rsidR="000E0ABA" w:rsidRPr="000E0ABA">
                        <w:rPr>
                          <w:i/>
                          <w:iCs/>
                          <w:szCs w:val="24"/>
                        </w:rPr>
                        <w:t>2012 – 2016.</w:t>
                      </w:r>
                    </w:p>
                    <w:p w14:paraId="08E42463" w14:textId="7BF78AED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Location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4C6BB7">
                        <w:rPr>
                          <w:i/>
                          <w:iCs/>
                          <w:szCs w:val="24"/>
                        </w:rPr>
                        <w:t xml:space="preserve"> </w:t>
                      </w:r>
                      <w:r w:rsidR="000E0ABA" w:rsidRPr="000E0ABA">
                        <w:rPr>
                          <w:i/>
                          <w:iCs/>
                          <w:szCs w:val="24"/>
                        </w:rPr>
                        <w:t>Colombia</w:t>
                      </w:r>
                    </w:p>
                    <w:p w14:paraId="33548DC8" w14:textId="3C3E8BF7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UN Regional Group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4C6BB7" w:rsidRPr="004C6BB7">
                        <w:t xml:space="preserve"> </w:t>
                      </w:r>
                      <w:r w:rsidR="000E0ABA" w:rsidRPr="000E0ABA">
                        <w:rPr>
                          <w:i/>
                          <w:iCs/>
                          <w:szCs w:val="24"/>
                        </w:rPr>
                        <w:t>Latin America and the Caribbean.</w:t>
                      </w:r>
                    </w:p>
                    <w:p w14:paraId="4DD004C0" w14:textId="77777777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Type of Conflict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4C6BB7" w:rsidRPr="004C6BB7">
                        <w:t xml:space="preserve"> </w:t>
                      </w:r>
                      <w:r w:rsidR="004C6BB7" w:rsidRPr="004C6BB7">
                        <w:rPr>
                          <w:i/>
                          <w:iCs/>
                          <w:szCs w:val="24"/>
                        </w:rPr>
                        <w:t>Vertical (state-based) Intrastate Conflict with Foreign Involvement.</w:t>
                      </w:r>
                    </w:p>
                    <w:p w14:paraId="40532473" w14:textId="1ECB6849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Type of Initiative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 xml:space="preserve"> Diplomacy and the mediation of a peace agreement. </w:t>
                      </w:r>
                    </w:p>
                    <w:p w14:paraId="50AA1C6E" w14:textId="444AE2C6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Main Implementing Organisation(s)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4C6BB7" w:rsidRPr="004C6BB7">
                        <w:t xml:space="preserve"> </w:t>
                      </w:r>
                      <w:r w:rsidR="000E0ABA" w:rsidRPr="000E0ABA">
                        <w:rPr>
                          <w:i/>
                          <w:iCs/>
                          <w:szCs w:val="24"/>
                        </w:rPr>
                        <w:t xml:space="preserve">The governments of Cuba, Chile, Germany, Norway, USA, 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 xml:space="preserve">Vatican, </w:t>
                      </w:r>
                      <w:r w:rsidR="000E0ABA" w:rsidRPr="000E0ABA">
                        <w:rPr>
                          <w:i/>
                          <w:iCs/>
                          <w:szCs w:val="24"/>
                        </w:rPr>
                        <w:t>and Venezuela, along with the EU, UN,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 xml:space="preserve"> and the</w:t>
                      </w:r>
                      <w:r w:rsidR="000E0ABA" w:rsidRPr="000E0ABA">
                        <w:rPr>
                          <w:i/>
                          <w:iCs/>
                          <w:szCs w:val="24"/>
                        </w:rPr>
                        <w:t xml:space="preserve"> Union of South American Nations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>.</w:t>
                      </w:r>
                    </w:p>
                    <w:p w14:paraId="29117AD5" w14:textId="088C4B68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Impact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 xml:space="preserve"> Lasting. </w:t>
                      </w:r>
                    </w:p>
                    <w:p w14:paraId="1EA2132D" w14:textId="3BA7688A" w:rsidR="00C6246A" w:rsidRPr="00C6246A" w:rsidRDefault="00C6246A" w:rsidP="00C6246A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C6246A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Summary</w:t>
                      </w:r>
                      <w:r w:rsidRPr="00C6246A">
                        <w:rPr>
                          <w:i/>
                          <w:iCs/>
                          <w:szCs w:val="24"/>
                        </w:rPr>
                        <w:t>: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 xml:space="preserve"> The armed conflict in Colombia was finally ended after 52 years by the signing of a peace agreement </w:t>
                      </w:r>
                      <w:r w:rsidR="00F92948">
                        <w:rPr>
                          <w:i/>
                          <w:iCs/>
                          <w:szCs w:val="24"/>
                        </w:rPr>
                        <w:t>during</w:t>
                      </w:r>
                      <w:r w:rsidR="000E0ABA">
                        <w:rPr>
                          <w:i/>
                          <w:iCs/>
                          <w:szCs w:val="24"/>
                        </w:rPr>
                        <w:t xml:space="preserve"> negotiations mediated by a host of national governments and intergovernmental organisations.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E0ABA">
        <w:t>Ending the armed conflict in Colombia</w:t>
      </w:r>
    </w:p>
    <w:p w14:paraId="04D0B7B9" w14:textId="77777777" w:rsidR="000E0ABA" w:rsidRDefault="000E0ABA" w:rsidP="000E0ABA">
      <w:r>
        <w:t xml:space="preserve">The </w:t>
      </w:r>
      <w:r w:rsidRPr="00B756D9">
        <w:t>Revolutionary Armed Forces of Colombia</w:t>
      </w:r>
      <w:r>
        <w:t xml:space="preserve"> (FARC) launched an insurgency against the Government of Colombia in 1964. The ensuing armed conflict raged for over five decades, with a host of guerrilla groups and paramilitary formations developing across the country. By the 1970s, the armed groups were employing the sale of narcotics to fund their activities.</w:t>
      </w:r>
      <w:r>
        <w:rPr>
          <w:rStyle w:val="EndnoteReference"/>
        </w:rPr>
        <w:endnoteReference w:id="1"/>
      </w:r>
      <w:r>
        <w:t xml:space="preserve"> By the 1990s, most had transitioned to the political arena, but FARC remained in conflict with the government in </w:t>
      </w:r>
      <w:r w:rsidRPr="00B756D9">
        <w:t>Bogotá</w:t>
      </w:r>
      <w:r>
        <w:t>. O</w:t>
      </w:r>
      <w:r w:rsidRPr="00F3612A">
        <w:t>n 26 August 2012</w:t>
      </w:r>
      <w:r>
        <w:t xml:space="preserve">, negotiations held in Cuba resulted in the creation of a framework for resolving the conflict, formalised in the </w:t>
      </w:r>
      <w:r w:rsidRPr="00F60348">
        <w:t>General Agreement for the Termination of the Conflict and the Construction of a Stable and Lasting Peace</w:t>
      </w:r>
      <w:r>
        <w:t>.</w:t>
      </w:r>
      <w:r>
        <w:rPr>
          <w:rStyle w:val="EndnoteReference"/>
        </w:rPr>
        <w:endnoteReference w:id="2"/>
      </w:r>
      <w:r>
        <w:t xml:space="preserve"> Among its provisions, the General Agreement scheduled further talks, focusing on</w:t>
      </w:r>
      <w:r w:rsidRPr="001A53C7">
        <w:t xml:space="preserve"> </w:t>
      </w:r>
      <w:r>
        <w:t>political participation (2013), illegal drugs (2014), and agrarian development (2014).</w:t>
      </w:r>
      <w:r>
        <w:rPr>
          <w:rStyle w:val="EndnoteReference"/>
        </w:rPr>
        <w:endnoteReference w:id="3"/>
      </w:r>
    </w:p>
    <w:p w14:paraId="7B921F49" w14:textId="5A1740AF" w:rsidR="000E0ABA" w:rsidRPr="000E0ABA" w:rsidRDefault="000E0ABA" w:rsidP="000E0ABA">
      <w:r>
        <w:t xml:space="preserve">Between 2012 and 2016, the peace process was hosted by the Government of Cuba, which served as a guarantor to the accords alongside the Norwegian government. In addition, the governments of Venezuela and Chile served as observers to the negotiations, while the </w:t>
      </w:r>
      <w:r w:rsidRPr="000E0ABA">
        <w:t>Union of South American Nations</w:t>
      </w:r>
      <w:r>
        <w:t xml:space="preserve">, EU, UN, Vatican, and American and German governments </w:t>
      </w:r>
      <w:r>
        <w:lastRenderedPageBreak/>
        <w:t>appointed special envoys to the peace process. Significant progress was made in 2015, when the former belligerents agreed to establish the Special Jurisdiction for Peace, which provided a mechanism for the investigation and prosecution of crimes related to the conflict.</w:t>
      </w:r>
      <w:r>
        <w:rPr>
          <w:rStyle w:val="EndnoteReference"/>
        </w:rPr>
        <w:endnoteReference w:id="4"/>
      </w:r>
      <w:r>
        <w:t xml:space="preserve"> In June 2016, the parties to the conflict agreed to a definitive ceasefire.</w:t>
      </w:r>
      <w:r>
        <w:rPr>
          <w:rStyle w:val="EndnoteReference"/>
        </w:rPr>
        <w:endnoteReference w:id="5"/>
      </w:r>
      <w:r>
        <w:t xml:space="preserve"> In September, the former belligerents signed a peace treaty at a public ceremony in Cartagena which was attended by representatives from across the world, including UN Secretary-General Ban Ki-Moon.</w:t>
      </w:r>
      <w:r>
        <w:rPr>
          <w:rStyle w:val="EndnoteReference"/>
        </w:rPr>
        <w:endnoteReference w:id="6"/>
      </w:r>
      <w:r>
        <w:t xml:space="preserve"> Just a week later, however, the Colombian people rejected the agreement in a referendum. Rather than return to conflict, a new deal was agreed on 24 November 2016 and ratified by the Colombian parliament on 30 November.</w:t>
      </w:r>
      <w:r>
        <w:rPr>
          <w:rStyle w:val="EndnoteReference"/>
        </w:rPr>
        <w:endnoteReference w:id="7"/>
      </w:r>
      <w:r>
        <w:t xml:space="preserve"> For his efforts in bringing peace to the country,</w:t>
      </w:r>
      <w:r w:rsidR="00F92948">
        <w:t xml:space="preserve"> Colombian</w:t>
      </w:r>
      <w:r>
        <w:t xml:space="preserve"> President </w:t>
      </w:r>
      <w:r w:rsidRPr="004D055B">
        <w:t>Juan Manuel Santos</w:t>
      </w:r>
      <w:r>
        <w:t xml:space="preserve"> was awarded the Nobel Peace Prize in 2016.</w:t>
      </w:r>
      <w:r>
        <w:rPr>
          <w:rStyle w:val="EndnoteReference"/>
        </w:rPr>
        <w:endnoteReference w:id="8"/>
      </w:r>
      <w:r>
        <w:t xml:space="preserve"> The international effort to facilitate an end to the fighting helped to bring an end to one of the longest intrastate armed conflicts in the world.</w:t>
      </w:r>
    </w:p>
    <w:sectPr w:rsidR="000E0ABA" w:rsidRPr="000E0AB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F4DF" w14:textId="77777777" w:rsidR="002A16ED" w:rsidRDefault="002A16ED" w:rsidP="00C66CBE">
      <w:pPr>
        <w:spacing w:before="0" w:after="0" w:line="240" w:lineRule="auto"/>
      </w:pPr>
      <w:r>
        <w:separator/>
      </w:r>
    </w:p>
  </w:endnote>
  <w:endnote w:type="continuationSeparator" w:id="0">
    <w:p w14:paraId="1D61C3F3" w14:textId="77777777" w:rsidR="002A16ED" w:rsidRDefault="002A16ED" w:rsidP="00C66CBE">
      <w:pPr>
        <w:spacing w:before="0" w:after="0" w:line="240" w:lineRule="auto"/>
      </w:pPr>
      <w:r>
        <w:continuationSeparator/>
      </w:r>
    </w:p>
  </w:endnote>
  <w:endnote w:id="1">
    <w:p w14:paraId="5E2FB4E5" w14:textId="77777777" w:rsidR="000E0ABA" w:rsidRPr="00B756D9" w:rsidRDefault="000E0ABA" w:rsidP="000E0ABA">
      <w:pPr>
        <w:pStyle w:val="EndnoteText"/>
        <w:rPr>
          <w:i/>
          <w:iCs/>
        </w:rPr>
      </w:pPr>
      <w:r>
        <w:rPr>
          <w:rStyle w:val="EndnoteReference"/>
        </w:rPr>
        <w:endnoteRef/>
      </w:r>
      <w:r>
        <w:t xml:space="preserve"> UCDP. </w:t>
      </w:r>
      <w:r w:rsidRPr="00B756D9">
        <w:rPr>
          <w:i/>
          <w:iCs/>
        </w:rPr>
        <w:t>Government of Colombia – FARC.</w:t>
      </w:r>
      <w:r>
        <w:t xml:space="preserve"> (UCDP, 2020) Available at: </w:t>
      </w:r>
      <w:hyperlink r:id="rId1" w:history="1">
        <w:r w:rsidRPr="00AB1AAC">
          <w:rPr>
            <w:rStyle w:val="Hyperlink"/>
          </w:rPr>
          <w:t>https://ucdp.uu.se/statebased/623</w:t>
        </w:r>
      </w:hyperlink>
      <w:r>
        <w:t xml:space="preserve"> (Accessed 13/12/2020)</w:t>
      </w:r>
    </w:p>
  </w:endnote>
  <w:endnote w:id="2">
    <w:p w14:paraId="673BA030" w14:textId="77777777" w:rsidR="000E0ABA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0348">
        <w:t>General Agreement for the Termination of the Conflict and the Construction of a Stable and Lasting Peace</w:t>
      </w:r>
      <w:r>
        <w:t xml:space="preserve">, 2012. Available at: </w:t>
      </w:r>
      <w:hyperlink r:id="rId2" w:history="1">
        <w:r w:rsidRPr="00AB1AAC">
          <w:rPr>
            <w:rStyle w:val="Hyperlink"/>
          </w:rPr>
          <w:t>https://peacemaker.un.org/colombia-generalaccordendconflict2012</w:t>
        </w:r>
      </w:hyperlink>
      <w:r>
        <w:t xml:space="preserve"> (Accessed 13/12/2020)</w:t>
      </w:r>
    </w:p>
  </w:endnote>
  <w:endnote w:id="3">
    <w:p w14:paraId="757D39F6" w14:textId="77777777" w:rsidR="000E0ABA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A53C7">
        <w:rPr>
          <w:i/>
          <w:iCs/>
        </w:rPr>
        <w:t>Participación política: Apertura democrática para construir la paz</w:t>
      </w:r>
      <w:r>
        <w:t xml:space="preserve">, 2013. Available at: </w:t>
      </w:r>
      <w:hyperlink r:id="rId3" w:history="1">
        <w:r w:rsidRPr="00AB1AAC">
          <w:rPr>
            <w:rStyle w:val="Hyperlink"/>
          </w:rPr>
          <w:t>https://peacemaker.un.org/colombia-politicalparticipation2013</w:t>
        </w:r>
      </w:hyperlink>
      <w:r>
        <w:t xml:space="preserve"> (Accessed 13/12/2020); </w:t>
      </w:r>
      <w:r w:rsidRPr="001A53C7">
        <w:rPr>
          <w:i/>
          <w:iCs/>
        </w:rPr>
        <w:t>Solución al Problema de las Drogas Ilícitas</w:t>
      </w:r>
      <w:r>
        <w:t xml:space="preserve">, 2014. Available at: </w:t>
      </w:r>
      <w:hyperlink r:id="rId4" w:history="1">
        <w:r w:rsidRPr="00AB1AAC">
          <w:rPr>
            <w:rStyle w:val="Hyperlink"/>
          </w:rPr>
          <w:t>https://peacemaker.un.org/colombia-drogasilicitas2014</w:t>
        </w:r>
      </w:hyperlink>
      <w:r>
        <w:t xml:space="preserve"> (Accessed 13/12/2020); </w:t>
      </w:r>
      <w:r w:rsidRPr="001A53C7">
        <w:rPr>
          <w:i/>
          <w:iCs/>
        </w:rPr>
        <w:t>Hacia un Nuevo Campo Colombiano: Reforma Rural Integral</w:t>
      </w:r>
      <w:r>
        <w:t xml:space="preserve">, 2014. Available at: </w:t>
      </w:r>
      <w:hyperlink r:id="rId5" w:history="1">
        <w:r w:rsidRPr="00AB1AAC">
          <w:rPr>
            <w:rStyle w:val="Hyperlink"/>
          </w:rPr>
          <w:t>https://peacemaker.un.org/colombia-reformarural2014</w:t>
        </w:r>
      </w:hyperlink>
      <w:r>
        <w:t xml:space="preserve"> (Accessed 13/12/2020)</w:t>
      </w:r>
    </w:p>
  </w:endnote>
  <w:endnote w:id="4">
    <w:p w14:paraId="60257B1E" w14:textId="77777777" w:rsidR="000E0ABA" w:rsidRPr="0089634F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Marta </w:t>
      </w:r>
      <w:r w:rsidRPr="0089634F">
        <w:t>Valiñas</w:t>
      </w:r>
      <w:r>
        <w:t>. “</w:t>
      </w:r>
      <w:r w:rsidRPr="0089634F">
        <w:t>The Colombian Special Jurisdiction for Peace: A Few Issues for Consideration When Investigating and Adjudicating Sexual and Gender-based Crimes</w:t>
      </w:r>
      <w:r>
        <w:t xml:space="preserve">.” </w:t>
      </w:r>
      <w:r>
        <w:rPr>
          <w:i/>
          <w:iCs/>
        </w:rPr>
        <w:t>Journal of International Criminal Justice</w:t>
      </w:r>
      <w:r>
        <w:t>, Vol. 18, No. 2. (2020) p.449</w:t>
      </w:r>
    </w:p>
  </w:endnote>
  <w:endnote w:id="5">
    <w:p w14:paraId="18F10558" w14:textId="77777777" w:rsidR="000E0ABA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45CC">
        <w:t>Agreement on the Bilateral and Definitive Ceasefire and Cessation of Hostilities, and the Laydown of Weapons between the National Government and the FARC-EP</w:t>
      </w:r>
      <w:r>
        <w:t xml:space="preserve">, 2016. Available at: </w:t>
      </w:r>
      <w:hyperlink r:id="rId6" w:history="1">
        <w:r w:rsidRPr="00AB1AAC">
          <w:rPr>
            <w:rStyle w:val="Hyperlink"/>
          </w:rPr>
          <w:t>https://peacemaker.un.org/ceasefire-colombia-2016</w:t>
        </w:r>
      </w:hyperlink>
      <w:r>
        <w:t xml:space="preserve"> (Accessed 13/12/2020)</w:t>
      </w:r>
    </w:p>
  </w:endnote>
  <w:endnote w:id="6">
    <w:p w14:paraId="7166B378" w14:textId="77777777" w:rsidR="000E0ABA" w:rsidRPr="0089634F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BBC. “</w:t>
      </w:r>
      <w:r w:rsidRPr="0089634F">
        <w:t>Colombia peace deal: Historic agreement is signed</w:t>
      </w:r>
      <w:r>
        <w:t xml:space="preserve">.” </w:t>
      </w:r>
      <w:r>
        <w:rPr>
          <w:i/>
          <w:iCs/>
        </w:rPr>
        <w:t>BBC News.</w:t>
      </w:r>
      <w:r>
        <w:t xml:space="preserve"> (2016) Available at: </w:t>
      </w:r>
      <w:hyperlink r:id="rId7" w:history="1">
        <w:r w:rsidRPr="00AB1AAC">
          <w:rPr>
            <w:rStyle w:val="Hyperlink"/>
          </w:rPr>
          <w:t>https://www.bbc.co.uk/news/world-latin-america-37477202</w:t>
        </w:r>
      </w:hyperlink>
      <w:r>
        <w:t xml:space="preserve"> (Accessed 13/12/2020)</w:t>
      </w:r>
    </w:p>
  </w:endnote>
  <w:endnote w:id="7">
    <w:p w14:paraId="0BFFECC5" w14:textId="77777777" w:rsidR="000E0ABA" w:rsidRPr="00FE1B29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Sibylla Brodzinsky. “</w:t>
      </w:r>
      <w:r w:rsidRPr="00FE1B29">
        <w:t>Colombia signs historic peace deal with Farc</w:t>
      </w:r>
      <w:r>
        <w:t xml:space="preserve">.” </w:t>
      </w:r>
      <w:r>
        <w:rPr>
          <w:i/>
          <w:iCs/>
        </w:rPr>
        <w:t xml:space="preserve">The Guardian. </w:t>
      </w:r>
      <w:r>
        <w:t xml:space="preserve">(2016) Available at: </w:t>
      </w:r>
      <w:hyperlink r:id="rId8" w:history="1">
        <w:r w:rsidRPr="00AB1AAC">
          <w:rPr>
            <w:rStyle w:val="Hyperlink"/>
          </w:rPr>
          <w:t>https://www.theguardian.com/world/2016/nov/24/colombia-signs-historic-peace-deal-with-farc-rebels</w:t>
        </w:r>
      </w:hyperlink>
      <w:r>
        <w:t xml:space="preserve"> (Accessed 13/12/2020); </w:t>
      </w:r>
      <w:r w:rsidRPr="002C7F29">
        <w:rPr>
          <w:i/>
          <w:iCs/>
        </w:rPr>
        <w:t>Acuerdo Final Para La Terminación Del Conflicto y La Construcción De Una Paz Estable y Duradera</w:t>
      </w:r>
      <w:r>
        <w:t xml:space="preserve">, 2016. Available at: </w:t>
      </w:r>
      <w:hyperlink r:id="rId9" w:history="1">
        <w:r w:rsidRPr="00AB1AAC">
          <w:rPr>
            <w:rStyle w:val="Hyperlink"/>
          </w:rPr>
          <w:t>https://peacemaker.un.org/node/2924</w:t>
        </w:r>
      </w:hyperlink>
      <w:r>
        <w:t xml:space="preserve"> (Accessed 13/12/2020)</w:t>
      </w:r>
    </w:p>
  </w:endnote>
  <w:endnote w:id="8">
    <w:p w14:paraId="1722F7DD" w14:textId="65FC76B2" w:rsidR="000E0ABA" w:rsidRDefault="000E0ABA" w:rsidP="000E0ABA">
      <w:pPr>
        <w:pStyle w:val="EndnoteText"/>
      </w:pPr>
      <w:r>
        <w:rPr>
          <w:rStyle w:val="EndnoteReference"/>
        </w:rPr>
        <w:endnoteRef/>
      </w:r>
      <w:r>
        <w:t xml:space="preserve"> The Nobel Prize. </w:t>
      </w:r>
      <w:r>
        <w:rPr>
          <w:i/>
          <w:iCs/>
        </w:rPr>
        <w:t>Juan Manuel Santos: Facts.</w:t>
      </w:r>
      <w:r>
        <w:t xml:space="preserve"> (Nobel Prize, 2020) Available at: </w:t>
      </w:r>
      <w:hyperlink r:id="rId10" w:history="1">
        <w:r w:rsidRPr="00AB1AAC">
          <w:rPr>
            <w:rStyle w:val="Hyperlink"/>
          </w:rPr>
          <w:t>https://www.nobelprize.org/prizes/peace/2016/santos/lecture/</w:t>
        </w:r>
      </w:hyperlink>
      <w:r>
        <w:t xml:space="preserve"> (Accessed 13/12/2020)</w:t>
      </w:r>
    </w:p>
    <w:p w14:paraId="338BA4F7" w14:textId="77777777" w:rsidR="000E0ABA" w:rsidRPr="00F81EF7" w:rsidRDefault="000E0ABA" w:rsidP="000E0AB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ADDD" w14:textId="77777777" w:rsidR="002A16ED" w:rsidRDefault="002A16ED" w:rsidP="00C66CBE">
      <w:pPr>
        <w:spacing w:before="0" w:after="0" w:line="240" w:lineRule="auto"/>
      </w:pPr>
      <w:r>
        <w:separator/>
      </w:r>
    </w:p>
  </w:footnote>
  <w:footnote w:type="continuationSeparator" w:id="0">
    <w:p w14:paraId="495747F8" w14:textId="77777777" w:rsidR="002A16ED" w:rsidRDefault="002A16ED" w:rsidP="00C66CB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BA"/>
    <w:rsid w:val="000E0ABA"/>
    <w:rsid w:val="002A16ED"/>
    <w:rsid w:val="00386E04"/>
    <w:rsid w:val="003C5124"/>
    <w:rsid w:val="00443E3E"/>
    <w:rsid w:val="004A4480"/>
    <w:rsid w:val="004C6BB7"/>
    <w:rsid w:val="00791A15"/>
    <w:rsid w:val="00821B9F"/>
    <w:rsid w:val="008C7B53"/>
    <w:rsid w:val="009F06C4"/>
    <w:rsid w:val="00C6246A"/>
    <w:rsid w:val="00C66CBE"/>
    <w:rsid w:val="00F26B16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D7E"/>
  <w15:chartTrackingRefBased/>
  <w15:docId w15:val="{44BC0932-6891-4004-BCB2-FBF31E4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BE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6A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46A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6A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6A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6A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6A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6A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46A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46A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46A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46A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46A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46A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46A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4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4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6A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246A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46A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24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246A"/>
    <w:rPr>
      <w:b/>
      <w:bCs/>
    </w:rPr>
  </w:style>
  <w:style w:type="character" w:styleId="Emphasis">
    <w:name w:val="Emphasis"/>
    <w:uiPriority w:val="20"/>
    <w:qFormat/>
    <w:rsid w:val="00C6246A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62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246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24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6A"/>
    <w:pPr>
      <w:spacing w:before="240" w:after="240" w:line="240" w:lineRule="auto"/>
      <w:ind w:left="1080" w:right="1080"/>
      <w:jc w:val="center"/>
    </w:pPr>
    <w:rPr>
      <w:color w:val="99CB38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46A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6246A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6246A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6246A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6246A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624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46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624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6CBE"/>
    <w:rPr>
      <w:color w:val="EE7B08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66CBE"/>
    <w:pPr>
      <w:spacing w:before="0" w:after="0" w:line="240" w:lineRule="auto"/>
    </w:pPr>
    <w:rPr>
      <w:rFonts w:eastAsia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6CBE"/>
    <w:rPr>
      <w:rFonts w:eastAsia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C66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6/nov/24/colombia-signs-historic-peace-deal-with-farc-rebels" TargetMode="External"/><Relationship Id="rId3" Type="http://schemas.openxmlformats.org/officeDocument/2006/relationships/hyperlink" Target="https://peacemaker.un.org/colombia-politicalparticipation2013" TargetMode="External"/><Relationship Id="rId7" Type="http://schemas.openxmlformats.org/officeDocument/2006/relationships/hyperlink" Target="https://www.bbc.co.uk/news/world-latin-america-37477202" TargetMode="External"/><Relationship Id="rId2" Type="http://schemas.openxmlformats.org/officeDocument/2006/relationships/hyperlink" Target="https://peacemaker.un.org/colombia-generalaccordendconflict2012" TargetMode="External"/><Relationship Id="rId1" Type="http://schemas.openxmlformats.org/officeDocument/2006/relationships/hyperlink" Target="https://ucdp.uu.se/statebased/623" TargetMode="External"/><Relationship Id="rId6" Type="http://schemas.openxmlformats.org/officeDocument/2006/relationships/hyperlink" Target="https://peacemaker.un.org/ceasefire-colombia-2016" TargetMode="External"/><Relationship Id="rId5" Type="http://schemas.openxmlformats.org/officeDocument/2006/relationships/hyperlink" Target="https://peacemaker.un.org/colombia-reformarural2014" TargetMode="External"/><Relationship Id="rId10" Type="http://schemas.openxmlformats.org/officeDocument/2006/relationships/hyperlink" Target="https://www.nobelprize.org/prizes/peace/2016/santos/lecture/" TargetMode="External"/><Relationship Id="rId4" Type="http://schemas.openxmlformats.org/officeDocument/2006/relationships/hyperlink" Target="https://peacemaker.un.org/colombia-drogasilicitas2014" TargetMode="External"/><Relationship Id="rId9" Type="http://schemas.openxmlformats.org/officeDocument/2006/relationships/hyperlink" Target="https://peacemaker.un.org/node/29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\Documents\Custom%20Office%20Templates\How%20We%20Stop%20War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How We Stop War Case Template</Template>
  <TotalTime>6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Elliot</dc:creator>
  <cp:keywords/>
  <dc:description/>
  <cp:lastModifiedBy>Elliot Short</cp:lastModifiedBy>
  <cp:revision>2</cp:revision>
  <dcterms:created xsi:type="dcterms:W3CDTF">2022-01-19T20:32:00Z</dcterms:created>
  <dcterms:modified xsi:type="dcterms:W3CDTF">2022-01-24T18:44:00Z</dcterms:modified>
</cp:coreProperties>
</file>